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D0" w:rsidRPr="0010062C" w:rsidRDefault="007744E1" w:rsidP="003029A6">
      <w:pPr>
        <w:pBdr>
          <w:bottom w:val="single" w:sz="6" w:space="1" w:color="E5E5E5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А</w:t>
      </w:r>
      <w:r w:rsidR="006D431C"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НАЛІЗ РЕГУЛЯТОРНОГО ВПЛИВУ </w:t>
      </w:r>
    </w:p>
    <w:p w:rsidR="006D431C" w:rsidRPr="0010062C" w:rsidRDefault="006D431C" w:rsidP="003029A6">
      <w:pPr>
        <w:pBdr>
          <w:bottom w:val="single" w:sz="6" w:space="1" w:color="E5E5E5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проєкту</w:t>
      </w:r>
      <w:proofErr w:type="spellEnd"/>
      <w:r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регуляторного акта –</w:t>
      </w:r>
      <w:r w:rsidR="00FC6DD0"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r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рішення </w:t>
      </w:r>
      <w:proofErr w:type="spellStart"/>
      <w:r w:rsidR="00B703DD"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Лисянської</w:t>
      </w:r>
      <w:proofErr w:type="spellEnd"/>
      <w:r w:rsidR="00B703DD"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селищної </w:t>
      </w:r>
      <w:r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ради </w:t>
      </w:r>
      <w:r w:rsidR="00FC6DD0"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«</w:t>
      </w:r>
      <w:r w:rsidR="00327A88"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Методику розрахунку орендної плати за майно комунальної власності </w:t>
      </w:r>
      <w:proofErr w:type="spellStart"/>
      <w:r w:rsidR="00327A88" w:rsidRPr="0010062C">
        <w:rPr>
          <w:rFonts w:ascii="Times New Roman" w:hAnsi="Times New Roman" w:cs="Times New Roman"/>
          <w:b/>
          <w:sz w:val="24"/>
          <w:szCs w:val="24"/>
          <w:lang w:val="uk-UA"/>
        </w:rPr>
        <w:t>Лисянської</w:t>
      </w:r>
      <w:proofErr w:type="spellEnd"/>
      <w:r w:rsidR="00327A88"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територіальної громади</w:t>
      </w:r>
      <w:r w:rsidRPr="001006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»</w:t>
      </w:r>
    </w:p>
    <w:p w:rsidR="00C122C6" w:rsidRPr="0010062C" w:rsidRDefault="00C122C6" w:rsidP="003029A6">
      <w:pPr>
        <w:pBdr>
          <w:bottom w:val="single" w:sz="6" w:space="1" w:color="E5E5E5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Цей аналіз регуляторного впливу (далі – </w:t>
      </w:r>
      <w:proofErr w:type="spellStart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АРВ</w:t>
      </w:r>
      <w:proofErr w:type="spellEnd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) розроблений на виконання та з дотриманням вимог Закону України «Про засади державної регуляторної політики у сф</w:t>
      </w:r>
      <w:r w:rsidR="00314DA6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ері господарської діяльності»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визначає правові і організаційні заходи реалізації </w:t>
      </w:r>
      <w:proofErr w:type="spellStart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проєкту</w:t>
      </w:r>
      <w:proofErr w:type="spellEnd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рішення </w:t>
      </w:r>
      <w:proofErr w:type="spellStart"/>
      <w:r w:rsidR="00B703DD" w:rsidRPr="001006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Лисянської</w:t>
      </w:r>
      <w:proofErr w:type="spellEnd"/>
      <w:r w:rsidR="00B703DD" w:rsidRPr="001006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 селищної  ради «</w:t>
      </w:r>
      <w:r w:rsidR="001006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Про затвердження </w:t>
      </w:r>
      <w:r w:rsidR="0010062C">
        <w:rPr>
          <w:rFonts w:ascii="Times New Roman" w:hAnsi="Times New Roman" w:cs="Times New Roman"/>
          <w:sz w:val="24"/>
          <w:szCs w:val="24"/>
          <w:lang w:val="uk-UA"/>
        </w:rPr>
        <w:t>Методики</w:t>
      </w:r>
      <w:r w:rsidR="00327A88" w:rsidRPr="0010062C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розрахунку орендної плати за майно комунальної власності </w:t>
      </w:r>
      <w:proofErr w:type="spellStart"/>
      <w:r w:rsidR="00327A88" w:rsidRPr="0010062C">
        <w:rPr>
          <w:rFonts w:ascii="Times New Roman" w:hAnsi="Times New Roman" w:cs="Times New Roman"/>
          <w:sz w:val="24"/>
          <w:szCs w:val="24"/>
          <w:lang w:val="uk-UA"/>
        </w:rPr>
        <w:t>Лисянської</w:t>
      </w:r>
      <w:proofErr w:type="spellEnd"/>
      <w:r w:rsidR="00327A88" w:rsidRPr="0010062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громади»</w:t>
      </w:r>
      <w:r w:rsidR="00B703DD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A950E6" w:rsidRPr="0010062C" w:rsidRDefault="00A950E6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6D431C" w:rsidRPr="0010062C" w:rsidRDefault="006D431C" w:rsidP="003029A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Визначення проблеми</w:t>
      </w:r>
    </w:p>
    <w:p w:rsidR="00176E1E" w:rsidRPr="0010062C" w:rsidRDefault="00304BAD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з методів ефективного управління майном є оренда. </w:t>
      </w:r>
      <w:r w:rsidR="00176E1E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з цим – це джерело надходження коштів </w:t>
      </w:r>
      <w:r w:rsidR="00002421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176E1E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B703DD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цевого</w:t>
      </w:r>
      <w:r w:rsidR="00176E1E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бюджету.</w:t>
      </w:r>
    </w:p>
    <w:p w:rsidR="00002421" w:rsidRPr="0010062C" w:rsidRDefault="003010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27.12.2019 р. набрав чинності та введений в дію з 01.02.2020 р. Закон України «Про оренду державного та комунального майна» № 157-ІХ від 03.10.2019 р. Ним впроваджуються принципово нові механізми передачі майна орендарю шляхом використання електронних сервісів, проведення електронного аукціону.</w:t>
      </w:r>
      <w:r w:rsidRPr="0010062C">
        <w:rPr>
          <w:sz w:val="24"/>
          <w:szCs w:val="24"/>
          <w:lang w:val="uk-UA"/>
        </w:rPr>
        <w:t xml:space="preserve"> </w:t>
      </w:r>
      <w:r w:rsidR="00002421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Також, </w:t>
      </w:r>
      <w:r w:rsidR="008018D6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прийнято </w:t>
      </w: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</w:t>
      </w:r>
      <w:r w:rsidR="008018D6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Кабінету Міністрів України «</w:t>
      </w:r>
      <w:r w:rsidR="00766231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Деякі питання оренди державного та комунального майна» №483 від 03.06.2020р.</w:t>
      </w: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«</w:t>
      </w:r>
      <w:r w:rsidR="008018D6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примірних договорів оренди державного майна» №820 від 12 серпня 2020р., </w:t>
      </w: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«</w:t>
      </w:r>
      <w:r w:rsidR="008018D6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Деякі питання розрахунку орендної плати за державне майно» №630 від 28 квітня 2021 р. </w:t>
      </w:r>
    </w:p>
    <w:p w:rsidR="00B703DD" w:rsidRPr="0010062C" w:rsidRDefault="00002421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рішення, які до тепер регулювали відносини в сфері оренди майна власності територіальних громад, не відповідають чинному законодавству України.  </w:t>
      </w:r>
      <w:r w:rsidR="008D30B2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</w:t>
      </w:r>
      <w:r w:rsidR="00C92916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D30B2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зв’язку з</w:t>
      </w:r>
      <w:r w:rsidR="00176E1E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реорганізацією сільських рад </w:t>
      </w:r>
      <w:r w:rsidR="00B703DD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шляхом приєднання до </w:t>
      </w:r>
      <w:proofErr w:type="spellStart"/>
      <w:r w:rsidR="00B703DD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Лисянської</w:t>
      </w:r>
      <w:proofErr w:type="spellEnd"/>
      <w:r w:rsidR="00B703DD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C92916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D30B2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6E1E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виникла необхідність </w:t>
      </w:r>
      <w:r w:rsidR="008D30B2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затвердження </w:t>
      </w:r>
      <w:r w:rsidR="008F4BFC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загального</w:t>
      </w:r>
      <w:r w:rsidR="008D30B2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порядку </w:t>
      </w:r>
      <w:r w:rsidR="00A10DF4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розрахунку орендної плати за користування комунальним майном</w:t>
      </w:r>
      <w:r w:rsidR="008D30B2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територіальної громади. </w:t>
      </w:r>
    </w:p>
    <w:p w:rsidR="0010062C" w:rsidRPr="0010062C" w:rsidRDefault="0010062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hAnsi="Times New Roman" w:cs="Times New Roman"/>
          <w:sz w:val="24"/>
          <w:szCs w:val="24"/>
          <w:lang w:val="uk-UA"/>
        </w:rPr>
        <w:t>Обґрунтування неможливості вирішення проблеми за допомогою ринкових механізмів: Застосування ринкових механізмів для вирішення вказаної проблеми не є можливим, оскільки відповідно до п.2 ст. 17 Закону у разі передачі майна в оренду без проведення аукціону орендна плата щодо комунального майна визначається представницькими органами місцевого самоврядування.</w:t>
      </w:r>
    </w:p>
    <w:p w:rsidR="00093AF3" w:rsidRPr="0010062C" w:rsidRDefault="00093AF3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hAnsi="Times New Roman" w:cs="Times New Roman"/>
          <w:sz w:val="24"/>
          <w:szCs w:val="24"/>
          <w:lang w:val="uk-UA"/>
        </w:rPr>
        <w:t>Передача в оренду комунального майна є ефективним і перспективним управлінським рішенням, що не лише дає змогу зберегти майно територіальної громади, а і сприяє розвитку підприємництва і є джерелом наповнення місцевого бюджету. Процедура передачі в оренду майна комунальної власності буде приведена у відповідність до вимог чинного законодавства. А також буде врахована як специфіка діяльності усіх діючих установ, організацій, комунальних підприємств та комунальних некомерційних підприємств  громади тощо.</w:t>
      </w:r>
    </w:p>
    <w:p w:rsidR="002D3F57" w:rsidRPr="0010062C" w:rsidRDefault="00B703DD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</w:t>
      </w:r>
      <w:r w:rsidR="006D431C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роєкт</w:t>
      </w:r>
      <w:proofErr w:type="spellEnd"/>
      <w:r w:rsidR="006D431C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рішення </w:t>
      </w:r>
      <w:r w:rsidR="0010062C" w:rsidRPr="001006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«</w:t>
      </w:r>
      <w:r w:rsidR="001006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Про затвердження </w:t>
      </w:r>
      <w:r w:rsidR="0010062C">
        <w:rPr>
          <w:rFonts w:ascii="Times New Roman" w:hAnsi="Times New Roman" w:cs="Times New Roman"/>
          <w:sz w:val="24"/>
          <w:szCs w:val="24"/>
          <w:lang w:val="uk-UA"/>
        </w:rPr>
        <w:t>Методики</w:t>
      </w:r>
      <w:r w:rsidR="0010062C" w:rsidRPr="0010062C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розрахунку орендної плати за майно комунальної власності </w:t>
      </w:r>
      <w:proofErr w:type="spellStart"/>
      <w:r w:rsidR="0010062C" w:rsidRPr="0010062C">
        <w:rPr>
          <w:rFonts w:ascii="Times New Roman" w:hAnsi="Times New Roman" w:cs="Times New Roman"/>
          <w:sz w:val="24"/>
          <w:szCs w:val="24"/>
          <w:lang w:val="uk-UA"/>
        </w:rPr>
        <w:t>Лисянської</w:t>
      </w:r>
      <w:proofErr w:type="spellEnd"/>
      <w:r w:rsidR="0010062C" w:rsidRPr="0010062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громади»</w:t>
      </w:r>
      <w:r w:rsidR="006D431C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(надалі – </w:t>
      </w:r>
      <w:proofErr w:type="spellStart"/>
      <w:r w:rsidR="006D431C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проєкт</w:t>
      </w:r>
      <w:proofErr w:type="spellEnd"/>
      <w:r w:rsidR="006D431C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акта,</w:t>
      </w:r>
      <w:r w:rsidR="002D3F57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рішення), яким визначатимуться</w:t>
      </w:r>
      <w:r w:rsidR="002D3F57" w:rsidRPr="0010062C">
        <w:rPr>
          <w:sz w:val="24"/>
          <w:szCs w:val="24"/>
          <w:lang w:val="uk-UA"/>
        </w:rPr>
        <w:t xml:space="preserve"> </w:t>
      </w:r>
      <w:r w:rsidR="002D3F57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особливості правових, економічних та організаційних відносин, пов’язаних з передачею в оренду комунального майна </w:t>
      </w:r>
      <w:proofErr w:type="spellStart"/>
      <w:r w:rsidR="00911605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Лисянської</w:t>
      </w:r>
      <w:proofErr w:type="spellEnd"/>
      <w:r w:rsidR="00911605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селищної</w:t>
      </w:r>
      <w:r w:rsidR="002D3F57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територіальної громади</w:t>
      </w:r>
      <w:r w:rsidR="003029A6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2D3F57" w:rsidRPr="0010062C" w:rsidRDefault="002D3F57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Основні групи (підгрупи), на які проблема справляє вплив: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6"/>
        <w:gridCol w:w="1701"/>
        <w:gridCol w:w="1701"/>
      </w:tblGrid>
      <w:tr w:rsidR="00FC6DD0" w:rsidRPr="0010062C" w:rsidTr="006F7A6B"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Групи (підгрупи)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Так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Ні</w:t>
            </w:r>
          </w:p>
        </w:tc>
      </w:tr>
      <w:tr w:rsidR="00FC6DD0" w:rsidRPr="0010062C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Громадяни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2D3F57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2D3F57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FC6DD0" w:rsidRPr="0010062C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3029A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ериторіальна громада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FC6DD0" w:rsidRPr="0010062C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Суб’єкти господарювання,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FC6DD0" w:rsidRPr="0010062C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у тому числі суб’єкти малого підприємництва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</w:tbl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ІІ. Цілі державного регулювання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Цілями регулювання є забезпечення виконання </w:t>
      </w:r>
      <w:r w:rsidR="00002421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норм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Закону України від 03 жовтня 2019 року № 157-ІХ «Про оренду державного та комунального майна», створення єдиних правил для учасників орендних відносин (орендаря та орендодавця) та чітких механізмів розрахунку орендної плати (річної,</w:t>
      </w:r>
      <w:r w:rsidR="002D3F57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53836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місячної, добової, погодинної), </w:t>
      </w:r>
      <w:r w:rsidR="002D3F57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підвищення ефективності використання комунального майна територіальної громади</w:t>
      </w:r>
      <w:r w:rsidR="00253836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збільшення надходжень до міс</w:t>
      </w:r>
      <w:r w:rsidR="00832F8D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цевого</w:t>
      </w:r>
      <w:r w:rsidR="00253836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бюджету</w:t>
      </w:r>
      <w:r w:rsidR="002D3F57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III. Визначення та оцінка альтернативних способів досягнення цілей</w:t>
      </w:r>
    </w:p>
    <w:p w:rsidR="006D431C" w:rsidRPr="0010062C" w:rsidRDefault="00E61F15" w:rsidP="003029A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Визначення альтернативних способів.</w:t>
      </w:r>
    </w:p>
    <w:p w:rsidR="000960F0" w:rsidRPr="0010062C" w:rsidRDefault="000960F0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0"/>
        <w:gridCol w:w="6946"/>
      </w:tblGrid>
      <w:tr w:rsidR="00FC6DD0" w:rsidRPr="0010062C" w:rsidTr="007D42A0">
        <w:trPr>
          <w:trHeight w:val="223"/>
        </w:trPr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Вид альтернативи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Опис альтернативи</w:t>
            </w:r>
          </w:p>
        </w:tc>
      </w:tr>
      <w:tr w:rsidR="00FC6DD0" w:rsidRPr="0010062C" w:rsidTr="007D42A0">
        <w:trPr>
          <w:trHeight w:val="996"/>
        </w:trPr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1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C122C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Залишити чинні регуляторні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акт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и.</w:t>
            </w:r>
          </w:p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Невідповідність вимогам Закону України від 03 жовтня 2019 року № 157-ІХ «Про оренду державного та комунального майна».</w:t>
            </w:r>
          </w:p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є не</w:t>
            </w:r>
            <w:r w:rsidR="00657E61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прийнятною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B326FE" w:rsidRPr="0010062C" w:rsidTr="007D42A0"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10062C" w:rsidRDefault="00B326FE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10062C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Внесення змін до чинної редакції Положень.</w:t>
            </w:r>
          </w:p>
          <w:p w:rsidR="00B326FE" w:rsidRPr="0010062C" w:rsidRDefault="00B326FE" w:rsidP="001006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Такий спосіб є недоцільний, оскільки змін зазнають більше ніж 50 відсотків діючої редакції Положень. До того ж, у зв’язку зі створенням громади, необхідно затвердити </w:t>
            </w:r>
            <w:r w:rsid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методику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що буде діяти на території всієї громади.  </w:t>
            </w:r>
          </w:p>
        </w:tc>
      </w:tr>
      <w:tr w:rsidR="00FC6DD0" w:rsidRPr="0010062C" w:rsidTr="007D42A0"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B326FE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Прийняття нового регуляторного акта.</w:t>
            </w:r>
          </w:p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Відповідність вимогам Закону України від 03 жовтня 2019 року № 157-ІХ «Про оренду державного та комунального майна».</w:t>
            </w:r>
          </w:p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Найбільш доцільна альтернатива.</w:t>
            </w:r>
          </w:p>
        </w:tc>
      </w:tr>
    </w:tbl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D431C" w:rsidRPr="0010062C" w:rsidRDefault="006D431C" w:rsidP="003029A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Оцінка вибраних альтернативних способів досягнення цілей.</w:t>
      </w:r>
    </w:p>
    <w:p w:rsidR="000960F0" w:rsidRPr="0010062C" w:rsidRDefault="000960F0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3642"/>
        <w:gridCol w:w="3797"/>
      </w:tblGrid>
      <w:tr w:rsidR="00FC6DD0" w:rsidRPr="0010062C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Вид альтернативи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Вигоди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Витрати</w:t>
            </w:r>
          </w:p>
        </w:tc>
      </w:tr>
      <w:tr w:rsidR="00FC6DD0" w:rsidRPr="0010062C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1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043FEB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C122C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Чинні регуляторні акти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не відповідають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 положенням  Закону України від 03 жовтня 2019 року № 157-ІХ «Про оренду державного та ко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мунального майна», та не вирішують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проблеми, що склалася.</w:t>
            </w:r>
          </w:p>
        </w:tc>
      </w:tr>
      <w:tr w:rsidR="00B326FE" w:rsidRPr="0010062C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10062C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10062C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10062C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</w:tr>
      <w:tr w:rsidR="00FC6DD0" w:rsidRPr="0010062C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043FEB" w:rsidP="000358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Приведення до норм діючого законодавства. 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Забезпечення виконання договірних відносин, 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прозорості процедури, збільшення надходжень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 міс</w:t>
            </w:r>
            <w:r w:rsidR="00035876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цевого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бюджету 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 оренди майна.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0960F0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</w:tr>
    </w:tbl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43FEB" w:rsidRPr="0010062C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Оцінка впливу на сферу інтересів громадян</w:t>
      </w:r>
    </w:p>
    <w:p w:rsidR="00043FEB" w:rsidRPr="0010062C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3125"/>
        <w:gridCol w:w="3111"/>
      </w:tblGrid>
      <w:tr w:rsidR="00043FEB" w:rsidRPr="0010062C" w:rsidTr="00043FEB">
        <w:tc>
          <w:tcPr>
            <w:tcW w:w="3108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Вид альтернативи</w:t>
            </w:r>
          </w:p>
        </w:tc>
        <w:tc>
          <w:tcPr>
            <w:tcW w:w="3125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3111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043FEB" w:rsidRPr="0010062C" w:rsidTr="00043FEB">
        <w:tc>
          <w:tcPr>
            <w:tcW w:w="3108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1</w:t>
            </w:r>
          </w:p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Збереження ситуації, яка існує на цей час</w:t>
            </w:r>
          </w:p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25" w:type="dxa"/>
            <w:shd w:val="clear" w:color="auto" w:fill="auto"/>
          </w:tcPr>
          <w:p w:rsidR="00043FEB" w:rsidRPr="0010062C" w:rsidRDefault="00A96296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  <w:r w:rsidR="00043FEB"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</w:t>
            </w:r>
          </w:p>
        </w:tc>
        <w:tc>
          <w:tcPr>
            <w:tcW w:w="3111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Невідповідність</w:t>
            </w:r>
            <w:r w:rsidR="00A96296"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чинному законодавству України</w:t>
            </w:r>
          </w:p>
        </w:tc>
      </w:tr>
      <w:tr w:rsidR="00B326FE" w:rsidRPr="0010062C" w:rsidTr="00043FEB">
        <w:tc>
          <w:tcPr>
            <w:tcW w:w="3108" w:type="dxa"/>
            <w:shd w:val="clear" w:color="auto" w:fill="auto"/>
          </w:tcPr>
          <w:p w:rsidR="00B326FE" w:rsidRPr="0010062C" w:rsidRDefault="00B326FE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2</w:t>
            </w:r>
          </w:p>
          <w:p w:rsidR="00B326FE" w:rsidRPr="0010062C" w:rsidRDefault="00B326FE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чинної редакції Положень</w:t>
            </w:r>
          </w:p>
        </w:tc>
        <w:tc>
          <w:tcPr>
            <w:tcW w:w="3125" w:type="dxa"/>
            <w:shd w:val="clear" w:color="auto" w:fill="auto"/>
          </w:tcPr>
          <w:p w:rsidR="00B326FE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  <w:tc>
          <w:tcPr>
            <w:tcW w:w="3111" w:type="dxa"/>
            <w:shd w:val="clear" w:color="auto" w:fill="auto"/>
          </w:tcPr>
          <w:p w:rsidR="00B326FE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  <w:tr w:rsidR="00043FEB" w:rsidRPr="0010062C" w:rsidTr="00043FEB">
        <w:tc>
          <w:tcPr>
            <w:tcW w:w="3108" w:type="dxa"/>
            <w:shd w:val="clear" w:color="auto" w:fill="auto"/>
          </w:tcPr>
          <w:p w:rsidR="00043FEB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3</w:t>
            </w:r>
          </w:p>
          <w:p w:rsidR="00043FEB" w:rsidRPr="0010062C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Прийняття нового регуляторного акту</w:t>
            </w:r>
          </w:p>
        </w:tc>
        <w:tc>
          <w:tcPr>
            <w:tcW w:w="3125" w:type="dxa"/>
            <w:shd w:val="clear" w:color="auto" w:fill="auto"/>
          </w:tcPr>
          <w:p w:rsidR="00E42B2B" w:rsidRPr="0010062C" w:rsidRDefault="00E42B2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Приведення до норм діючого законодавства</w:t>
            </w:r>
          </w:p>
          <w:p w:rsidR="00043FEB" w:rsidRPr="0010062C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зрозумілого, більш сучасного механізму організації проведення конкурсу, збільшення зацікавленості потенційних претендентів.</w:t>
            </w:r>
          </w:p>
        </w:tc>
        <w:tc>
          <w:tcPr>
            <w:tcW w:w="3111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Витрати, пов’язані з участю в конкурсі.</w:t>
            </w:r>
          </w:p>
        </w:tc>
      </w:tr>
    </w:tbl>
    <w:p w:rsidR="00043FEB" w:rsidRPr="0010062C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3FEB" w:rsidRPr="0010062C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Оцінка впливу на сферу інтересів суб’єктів господарювання </w:t>
      </w:r>
    </w:p>
    <w:p w:rsidR="00043FEB" w:rsidRPr="0010062C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3544"/>
        <w:gridCol w:w="2970"/>
      </w:tblGrid>
      <w:tr w:rsidR="00043FEB" w:rsidRPr="0010062C" w:rsidTr="0072664D">
        <w:tc>
          <w:tcPr>
            <w:tcW w:w="2830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альтернативи</w:t>
            </w:r>
          </w:p>
        </w:tc>
        <w:tc>
          <w:tcPr>
            <w:tcW w:w="3544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2970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043FEB" w:rsidRPr="0010062C" w:rsidTr="0072664D">
        <w:tc>
          <w:tcPr>
            <w:tcW w:w="2830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1</w:t>
            </w:r>
          </w:p>
          <w:p w:rsidR="00043FEB" w:rsidRPr="0010062C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Збереження ситуації, яка існує на цей час</w:t>
            </w:r>
          </w:p>
          <w:p w:rsidR="00043FEB" w:rsidRPr="0010062C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43FEB" w:rsidRPr="0010062C" w:rsidRDefault="00A96296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  <w:r w:rsidR="00043FEB"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043FEB" w:rsidRPr="0010062C" w:rsidRDefault="00A96296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Невідповідність чинному законодавству України</w:t>
            </w:r>
          </w:p>
        </w:tc>
      </w:tr>
      <w:tr w:rsidR="00B326FE" w:rsidRPr="0010062C" w:rsidTr="0072664D">
        <w:tc>
          <w:tcPr>
            <w:tcW w:w="2830" w:type="dxa"/>
            <w:shd w:val="clear" w:color="auto" w:fill="auto"/>
          </w:tcPr>
          <w:p w:rsidR="00B326FE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2</w:t>
            </w:r>
          </w:p>
          <w:p w:rsidR="00B326FE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чинної редакції Положень</w:t>
            </w:r>
          </w:p>
        </w:tc>
        <w:tc>
          <w:tcPr>
            <w:tcW w:w="3544" w:type="dxa"/>
            <w:shd w:val="clear" w:color="auto" w:fill="auto"/>
          </w:tcPr>
          <w:p w:rsidR="00B326FE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  <w:tc>
          <w:tcPr>
            <w:tcW w:w="2970" w:type="dxa"/>
            <w:shd w:val="clear" w:color="auto" w:fill="auto"/>
          </w:tcPr>
          <w:p w:rsidR="00B326FE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  <w:tr w:rsidR="00043FEB" w:rsidRPr="0010062C" w:rsidTr="0072664D">
        <w:tc>
          <w:tcPr>
            <w:tcW w:w="2830" w:type="dxa"/>
            <w:shd w:val="clear" w:color="auto" w:fill="auto"/>
          </w:tcPr>
          <w:p w:rsidR="00043FEB" w:rsidRPr="0010062C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3</w:t>
            </w:r>
          </w:p>
          <w:p w:rsidR="00043FEB" w:rsidRPr="0010062C" w:rsidRDefault="00555461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Прийняття нового регуляторного акту</w:t>
            </w:r>
          </w:p>
        </w:tc>
        <w:tc>
          <w:tcPr>
            <w:tcW w:w="3544" w:type="dxa"/>
            <w:shd w:val="clear" w:color="auto" w:fill="auto"/>
          </w:tcPr>
          <w:p w:rsidR="00043FEB" w:rsidRPr="0010062C" w:rsidRDefault="00E42B2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Приведення до норм діючого законодавства. </w:t>
            </w:r>
            <w:r w:rsidR="00043FEB"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Можливість орендувати комунальне майно із застосуванням сучасних технологій процедури.  Встановлення більш сучасного механізму організації проведення конкурсу, збільшення зацікавленості потенційних претендентів.</w:t>
            </w:r>
          </w:p>
        </w:tc>
        <w:tc>
          <w:tcPr>
            <w:tcW w:w="2970" w:type="dxa"/>
            <w:shd w:val="clear" w:color="auto" w:fill="auto"/>
          </w:tcPr>
          <w:p w:rsidR="00043FEB" w:rsidRPr="0010062C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Витрати, </w:t>
            </w:r>
            <w:r w:rsidR="00B326FE" w:rsidRPr="001006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пов’язані з участю в конкурсі</w:t>
            </w:r>
          </w:p>
        </w:tc>
      </w:tr>
    </w:tbl>
    <w:p w:rsidR="00043FEB" w:rsidRPr="0010062C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F89" w:rsidRPr="0010062C" w:rsidRDefault="00DD2F89" w:rsidP="00302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10062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ВИТРАТИ</w:t>
      </w:r>
      <w:r w:rsidRPr="0010062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br/>
        <w:t>на одного суб'єкта господарювання великого і середнього підприємництва, які виникають внаслідок дії регуляторного акта</w:t>
      </w:r>
    </w:p>
    <w:p w:rsidR="00043FEB" w:rsidRPr="0010062C" w:rsidRDefault="00043FEB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5"/>
        <w:gridCol w:w="3686"/>
        <w:gridCol w:w="3260"/>
      </w:tblGrid>
      <w:tr w:rsidR="00FC6DD0" w:rsidRPr="0010062C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Вид альтернативи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Вигоди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Витрати</w:t>
            </w:r>
          </w:p>
        </w:tc>
      </w:tr>
      <w:tr w:rsidR="00FC6DD0" w:rsidRPr="0010062C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1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72664D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Невідповідність чинному законодавству України</w:t>
            </w:r>
          </w:p>
        </w:tc>
      </w:tr>
      <w:tr w:rsidR="00CC5C16" w:rsidRPr="0010062C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</w:tr>
      <w:tr w:rsidR="00FC6DD0" w:rsidRPr="0010062C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628B2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Здійснення процедур відповідно до чинного законодавства, в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ідкритість процедури, прозорість дій о</w:t>
            </w:r>
            <w:r w:rsidR="00253836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рганів місцевого самоврядування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</w:tr>
    </w:tbl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 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IV. Вибір найбільш оптимального альтернативного способу досягнення цілей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Оцінка ступеня досягнення визначених цілей здійснюється за чотирибальною системою, де: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n153"/>
      <w:bookmarkStart w:id="1" w:name="n154"/>
      <w:bookmarkEnd w:id="0"/>
      <w:bookmarkEnd w:id="1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4 - цілі прийняття </w:t>
      </w:r>
      <w:r w:rsidR="00860F13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можуть бути досягнуті повною мірою (проблема більше існувати не буде);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n155"/>
      <w:bookmarkEnd w:id="2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3 - цілі прийняття </w:t>
      </w:r>
      <w:r w:rsidR="00860F13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можуть бути досягнуті майже  повною мірою (усі важливі аспекти проблеми існувати не будуть);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156"/>
      <w:bookmarkEnd w:id="3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2 - цілі прийняття </w:t>
      </w:r>
      <w:r w:rsidR="00860F13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" w:name="n157"/>
      <w:bookmarkEnd w:id="4"/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1 - цілі прийняття </w:t>
      </w:r>
      <w:r w:rsidR="00860F13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не можуть бути досягнуті (проблема продовжує існувати).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6"/>
        <w:gridCol w:w="2104"/>
        <w:gridCol w:w="4801"/>
      </w:tblGrid>
      <w:tr w:rsidR="00FC6DD0" w:rsidRPr="0010062C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Бал</w:t>
            </w:r>
          </w:p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результативності</w:t>
            </w:r>
          </w:p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(за чотирибальною системою оцінки)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Коментарі щодо присвоєння відповідного балу</w:t>
            </w:r>
          </w:p>
        </w:tc>
      </w:tr>
      <w:tr w:rsidR="00FC6DD0" w:rsidRPr="0010062C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1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Збер</w:t>
            </w:r>
            <w:r w:rsidR="0072664D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еження чинного 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регулювання не </w:t>
            </w:r>
            <w:r w:rsidR="0072664D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відповідає чинному законодавству, не 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дає змоги досягнути мети регулювання, визначеної у пункті 2.</w:t>
            </w:r>
          </w:p>
        </w:tc>
      </w:tr>
      <w:tr w:rsidR="00CC5C16" w:rsidRPr="0010062C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10062C" w:rsidRDefault="00CC5C16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10062C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Внесення змін до чинного регулювання є недоцільним, так як законодавством</w:t>
            </w:r>
            <w:r w:rsidRPr="0010062C">
              <w:rPr>
                <w:sz w:val="24"/>
                <w:szCs w:val="24"/>
                <w:lang w:val="uk-UA"/>
              </w:rPr>
              <w:t xml:space="preserve"> </w:t>
            </w: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впроваджено принципово нові механізми передачі майна в оренду.</w:t>
            </w:r>
          </w:p>
        </w:tc>
      </w:tr>
      <w:tr w:rsidR="00FC6DD0" w:rsidRPr="0010062C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CC5C16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10062C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Є найбільш прийнятним та ефективним способом, який доз</w:t>
            </w:r>
            <w:r w:rsidR="00EA35D9" w:rsidRPr="00100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волить досягти мети регулювання. Цілі прийняття регуляторного акту будуть досягнуті в повній мірі.</w:t>
            </w:r>
          </w:p>
        </w:tc>
      </w:tr>
    </w:tbl>
    <w:p w:rsidR="00EA528E" w:rsidRPr="0010062C" w:rsidRDefault="00EA528E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V. Механізми та заходи, які забезпечать розв'язання визначеної проблеми</w:t>
      </w:r>
    </w:p>
    <w:p w:rsidR="00056C26" w:rsidRPr="0010062C" w:rsidRDefault="00056C26" w:rsidP="00302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Механізмом, який забезпечить розв’язання проблеми, є прийняття регуляторного акта. </w:t>
      </w:r>
    </w:p>
    <w:p w:rsidR="00056C26" w:rsidRPr="0010062C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uk-UA" w:eastAsia="uk-UA"/>
        </w:rPr>
      </w:pPr>
      <w:r w:rsidRPr="0010062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uk-UA" w:eastAsia="uk-UA"/>
        </w:rPr>
        <w:t>Організаційні заходи для провадження регулювання:</w:t>
      </w:r>
    </w:p>
    <w:p w:rsidR="00056C26" w:rsidRPr="0010062C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- розробка проекту регуляторного акту - відповідно до цілей державного регулювання, розробка аналізу регуляторного впливу;</w:t>
      </w:r>
    </w:p>
    <w:p w:rsidR="00056C26" w:rsidRPr="0010062C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- з метою отримання зауважень та пропозицій від громадськості, фізичних та юридичних осіб, їх об’єднань, розміщення запропонованого проекту </w:t>
      </w:r>
      <w:r w:rsidR="00860F13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з відповідним аналізом регуляторного впливу на офіційному </w:t>
      </w:r>
      <w:proofErr w:type="spellStart"/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веб-сайті</w:t>
      </w:r>
      <w:proofErr w:type="spellEnd"/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="00860F13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Лисянської</w:t>
      </w:r>
      <w:proofErr w:type="spellEnd"/>
      <w:r w:rsidR="00860F13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селищної</w:t>
      </w: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="00F33ECF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територіальної громади </w:t>
      </w: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ради</w:t>
      </w:r>
      <w:r w:rsidR="00F33ECF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="00CC47B9" w:rsidRPr="0010062C">
        <w:rPr>
          <w:rFonts w:ascii="Times New Roman" w:hAnsi="Times New Roman" w:cs="Times New Roman"/>
          <w:sz w:val="24"/>
          <w:szCs w:val="24"/>
          <w:lang w:val="uk-UA"/>
        </w:rPr>
        <w:t>http://lysianka-otg.gov.ua/</w:t>
      </w:r>
    </w:p>
    <w:p w:rsidR="00056C26" w:rsidRPr="0010062C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- врахування або мотивоване відхилення отриманих зауважень та пропозицій (у разі їх надходжень);</w:t>
      </w:r>
    </w:p>
    <w:p w:rsidR="00056C26" w:rsidRPr="0010062C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- винесення на засідання </w:t>
      </w:r>
      <w:r w:rsidR="00AE0540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селищної</w:t>
      </w: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ради  проекту рішення  та його затвердження; </w:t>
      </w:r>
    </w:p>
    <w:p w:rsidR="00253836" w:rsidRPr="0010062C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- оприлюднення прийнятого регуляторного акту </w:t>
      </w:r>
      <w:r w:rsidR="00F33ECF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на офіційному </w:t>
      </w:r>
      <w:proofErr w:type="spellStart"/>
      <w:r w:rsidR="00F33ECF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веб-сайті</w:t>
      </w:r>
      <w:proofErr w:type="spellEnd"/>
      <w:r w:rsidR="00F33ECF" w:rsidRPr="00100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територіальної громади ради </w:t>
      </w:r>
      <w:r w:rsidR="00AE0540" w:rsidRPr="0010062C">
        <w:rPr>
          <w:rFonts w:ascii="Times New Roman" w:hAnsi="Times New Roman" w:cs="Times New Roman"/>
          <w:sz w:val="24"/>
          <w:szCs w:val="24"/>
          <w:lang w:val="uk-UA"/>
        </w:rPr>
        <w:t>http://lysianka-otg.gov.ua/</w:t>
      </w:r>
    </w:p>
    <w:p w:rsidR="00056C26" w:rsidRPr="0010062C" w:rsidRDefault="00056C26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lastRenderedPageBreak/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7A0936" w:rsidRPr="0010062C" w:rsidRDefault="007A0936" w:rsidP="00302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Регуляторний акт</w:t>
      </w:r>
      <w:r w:rsidR="00253836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стосується інтересів держави (о</w:t>
      </w: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ргану місцевого самоврядування) громадян, суб’єктів господарювання. Негативних наслідків у зв’язку з прийняттям регуляторного акту не очікується. </w:t>
      </w:r>
    </w:p>
    <w:p w:rsidR="007A0936" w:rsidRPr="0010062C" w:rsidRDefault="007A0936" w:rsidP="00302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Органи місцевого самоврядування додаткових витрат не зазнають, реалізація запропонованого регуляторного акта не потребує додаткових витрат з місцевого бюджету.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 </w:t>
      </w:r>
    </w:p>
    <w:p w:rsidR="00AE0540" w:rsidRPr="0010062C" w:rsidRDefault="00AE0540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VII. Обґрунтування запропонованого строку дії регуляторного акта</w:t>
      </w:r>
    </w:p>
    <w:p w:rsidR="007A0936" w:rsidRPr="0010062C" w:rsidRDefault="007A0936" w:rsidP="00302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Термін дії запропонованого регуляторного акта встановлюється </w:t>
      </w:r>
      <w:r w:rsidRPr="0010062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 необмежений термін, однак п</w:t>
      </w: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ри виникненні змін у чинному законодавстві, які можуть вплинути на дію запропонованого регуляторного акта, а також за підсумками відстеження його </w:t>
      </w:r>
      <w:r w:rsidR="001006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результативності, до діючої Методики</w:t>
      </w: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можуть вноситись відповідні корегування.</w:t>
      </w:r>
    </w:p>
    <w:p w:rsidR="007A0936" w:rsidRPr="0010062C" w:rsidRDefault="007A0936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VIII. Визначення показників результативності дії регуляторного акта</w:t>
      </w:r>
    </w:p>
    <w:p w:rsidR="006D431C" w:rsidRPr="0010062C" w:rsidRDefault="006D431C" w:rsidP="0010062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 результаті впровадження регуляторного акта буде досліджуватись та вивчатися:</w:t>
      </w:r>
    </w:p>
    <w:p w:rsidR="006D431C" w:rsidRPr="0010062C" w:rsidRDefault="006D431C" w:rsidP="0010062C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розмір надходжень орендної плати;</w:t>
      </w:r>
    </w:p>
    <w:p w:rsidR="006D431C" w:rsidRPr="0010062C" w:rsidRDefault="006D431C" w:rsidP="0010062C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кількість суб’єктів господарювання та/або фізичних осіб, на яких поширюватиметься дія акта;</w:t>
      </w:r>
    </w:p>
    <w:p w:rsidR="006D431C" w:rsidRPr="0010062C" w:rsidRDefault="00310246" w:rsidP="0010062C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рівень п</w:t>
      </w:r>
      <w:r w:rsidR="006D431C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оінформованості суб’єктів господарювання та/або фізичних осіб стосовно основних положень регуляторного акта.</w:t>
      </w:r>
    </w:p>
    <w:p w:rsidR="00A45129" w:rsidRPr="0010062C" w:rsidRDefault="00A45129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6D431C" w:rsidRPr="0010062C" w:rsidRDefault="006D431C" w:rsidP="0010062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Стосовно регуляторного акта </w:t>
      </w:r>
      <w:r w:rsidR="0072664D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="00CF7D7D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иконавчим комітетом </w:t>
      </w:r>
      <w:r w:rsidR="00AE0540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селищної ради</w:t>
      </w:r>
      <w:r w:rsidR="00CF7D7D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буде здійснюватись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відстеження його результативності.</w:t>
      </w:r>
    </w:p>
    <w:p w:rsidR="006D431C" w:rsidRPr="0010062C" w:rsidRDefault="006D431C" w:rsidP="0010062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Базове відстеження результативності акта буде здійснено після набрання чинності цим актом шляхом оброблення результатів</w:t>
      </w:r>
      <w:r w:rsidR="007966A3"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6D431C" w:rsidRPr="0010062C" w:rsidRDefault="006D431C" w:rsidP="0010062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Періодичне відстеження результативності цього регуляторного акта здійснюватиметься раз на три роки, починаючи з дня виконання заходів з повторного відстеження результативності.</w:t>
      </w:r>
      <w:r w:rsidR="00CF7D7D"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006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Метод проведення відстеження результативності – статистичний.</w:t>
      </w:r>
    </w:p>
    <w:p w:rsidR="006D431C" w:rsidRPr="0010062C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966A3" w:rsidRPr="0010062C" w:rsidRDefault="007966A3" w:rsidP="007966A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GoBack"/>
      <w:bookmarkEnd w:id="5"/>
    </w:p>
    <w:p w:rsidR="007966A3" w:rsidRPr="0010062C" w:rsidRDefault="007966A3" w:rsidP="007966A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прийняття відповідного рішення </w:t>
      </w:r>
      <w:proofErr w:type="spellStart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>Лисянської</w:t>
      </w:r>
      <w:proofErr w:type="spellEnd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ради, всі бажаючі можуть взяти участь у процесі обговорення та подавати у письмовій формі зауваження та пропозиції, які приймаються на електронну адресу </w:t>
      </w:r>
      <w:proofErr w:type="spellStart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>Лисянської</w:t>
      </w:r>
      <w:proofErr w:type="spellEnd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 (</w:t>
      </w:r>
      <w:hyperlink r:id="rId6" w:history="1">
        <w:r w:rsidRPr="0010062C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lang w:val="uk-UA"/>
          </w:rPr>
          <w:t>lysselrada@ukr.net</w:t>
        </w:r>
      </w:hyperlink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та за адресою: </w:t>
      </w:r>
      <w:proofErr w:type="spellStart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>смт</w:t>
      </w:r>
      <w:proofErr w:type="spellEnd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>Лисянка</w:t>
      </w:r>
      <w:proofErr w:type="spellEnd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пл. Миру 30 </w:t>
      </w:r>
      <w:proofErr w:type="spellStart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>Лисянська</w:t>
      </w:r>
      <w:proofErr w:type="spellEnd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селищна рада.</w:t>
      </w:r>
    </w:p>
    <w:p w:rsidR="007966A3" w:rsidRPr="0010062C" w:rsidRDefault="007966A3" w:rsidP="007966A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Пропозиції приймаються протягом місяця з дня опублікування повідомлення про оприлюднення.  </w:t>
      </w:r>
    </w:p>
    <w:p w:rsidR="007966A3" w:rsidRPr="0010062C" w:rsidRDefault="007966A3" w:rsidP="007966A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 рішення та аналіз його регуляторного впливу розміщені на офіційному </w:t>
      </w:r>
      <w:proofErr w:type="spellStart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>веб-сайті</w:t>
      </w:r>
      <w:proofErr w:type="spellEnd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>Лисянської</w:t>
      </w:r>
      <w:proofErr w:type="spellEnd"/>
      <w:r w:rsidRPr="001006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громади http://lysianka-otg.gov.ua/.</w:t>
      </w:r>
    </w:p>
    <w:p w:rsidR="007966A3" w:rsidRPr="0010062C" w:rsidRDefault="007966A3" w:rsidP="00796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006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</w:p>
    <w:p w:rsidR="007966A3" w:rsidRPr="0010062C" w:rsidRDefault="007966A3" w:rsidP="007966A3">
      <w:pPr>
        <w:shd w:val="clear" w:color="auto" w:fill="FFFFFF"/>
        <w:tabs>
          <w:tab w:val="left" w:pos="68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966A3" w:rsidRPr="0010062C" w:rsidRDefault="007966A3" w:rsidP="007966A3">
      <w:pPr>
        <w:shd w:val="clear" w:color="auto" w:fill="FFFFFF"/>
        <w:tabs>
          <w:tab w:val="left" w:pos="68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00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Селищний голова</w:t>
      </w:r>
      <w:r w:rsidRPr="00100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А.П.</w:t>
      </w:r>
      <w:proofErr w:type="spellStart"/>
      <w:r w:rsidRPr="00100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Проценко</w:t>
      </w:r>
      <w:proofErr w:type="spellEnd"/>
    </w:p>
    <w:p w:rsidR="00035876" w:rsidRPr="0010062C" w:rsidRDefault="00035876" w:rsidP="00302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29A6" w:rsidRPr="0010062C" w:rsidRDefault="003029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sz w:val="24"/>
          <w:szCs w:val="24"/>
          <w:lang w:val="uk-UA"/>
        </w:rPr>
      </w:pPr>
    </w:p>
    <w:sectPr w:rsidR="003029A6" w:rsidRPr="0010062C" w:rsidSect="00A950E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2B25A1B"/>
    <w:multiLevelType w:val="multilevel"/>
    <w:tmpl w:val="F5FA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D3078"/>
    <w:multiLevelType w:val="multilevel"/>
    <w:tmpl w:val="591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66E22"/>
    <w:multiLevelType w:val="multilevel"/>
    <w:tmpl w:val="C9F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67045"/>
    <w:multiLevelType w:val="hybridMultilevel"/>
    <w:tmpl w:val="02C4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6C73E">
      <w:start w:val="4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0D7EA9"/>
    <w:multiLevelType w:val="hybridMultilevel"/>
    <w:tmpl w:val="15688170"/>
    <w:lvl w:ilvl="0" w:tplc="EA3CC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46DC4"/>
    <w:multiLevelType w:val="multilevel"/>
    <w:tmpl w:val="A51A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76322"/>
    <w:multiLevelType w:val="hybridMultilevel"/>
    <w:tmpl w:val="BD7A75CA"/>
    <w:lvl w:ilvl="0" w:tplc="FD8C6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10B62"/>
    <w:multiLevelType w:val="multilevel"/>
    <w:tmpl w:val="B36CD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604E5"/>
    <w:multiLevelType w:val="multilevel"/>
    <w:tmpl w:val="F8E2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303AA"/>
    <w:multiLevelType w:val="multilevel"/>
    <w:tmpl w:val="99EA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8F2131"/>
    <w:multiLevelType w:val="hybridMultilevel"/>
    <w:tmpl w:val="C358AC52"/>
    <w:lvl w:ilvl="0" w:tplc="4746AA2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D0E01"/>
    <w:multiLevelType w:val="multilevel"/>
    <w:tmpl w:val="F0F0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172A5"/>
    <w:multiLevelType w:val="multilevel"/>
    <w:tmpl w:val="DC6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DA1"/>
    <w:rsid w:val="00002421"/>
    <w:rsid w:val="00035876"/>
    <w:rsid w:val="00043FEB"/>
    <w:rsid w:val="00056C26"/>
    <w:rsid w:val="000676C1"/>
    <w:rsid w:val="00073B98"/>
    <w:rsid w:val="00082829"/>
    <w:rsid w:val="00093AF3"/>
    <w:rsid w:val="000960F0"/>
    <w:rsid w:val="0010062C"/>
    <w:rsid w:val="00136DE5"/>
    <w:rsid w:val="00176E1E"/>
    <w:rsid w:val="001A3F80"/>
    <w:rsid w:val="001E1C95"/>
    <w:rsid w:val="00253836"/>
    <w:rsid w:val="00276C39"/>
    <w:rsid w:val="002D3F57"/>
    <w:rsid w:val="0030101C"/>
    <w:rsid w:val="003029A6"/>
    <w:rsid w:val="00304BAD"/>
    <w:rsid w:val="00304C92"/>
    <w:rsid w:val="00310246"/>
    <w:rsid w:val="003132E5"/>
    <w:rsid w:val="00314DA6"/>
    <w:rsid w:val="00327A88"/>
    <w:rsid w:val="003615E5"/>
    <w:rsid w:val="003E5A34"/>
    <w:rsid w:val="0047237D"/>
    <w:rsid w:val="004B42CB"/>
    <w:rsid w:val="004C1F79"/>
    <w:rsid w:val="00555461"/>
    <w:rsid w:val="0056447C"/>
    <w:rsid w:val="005F79B0"/>
    <w:rsid w:val="00625676"/>
    <w:rsid w:val="00651508"/>
    <w:rsid w:val="00657E61"/>
    <w:rsid w:val="006628B2"/>
    <w:rsid w:val="006C777B"/>
    <w:rsid w:val="006D431C"/>
    <w:rsid w:val="006E6A9A"/>
    <w:rsid w:val="006F7A6B"/>
    <w:rsid w:val="00705C6E"/>
    <w:rsid w:val="0072664D"/>
    <w:rsid w:val="00755DA1"/>
    <w:rsid w:val="007642E5"/>
    <w:rsid w:val="00766231"/>
    <w:rsid w:val="007744E1"/>
    <w:rsid w:val="007966A3"/>
    <w:rsid w:val="007A0936"/>
    <w:rsid w:val="007D42A0"/>
    <w:rsid w:val="008018D6"/>
    <w:rsid w:val="00810B82"/>
    <w:rsid w:val="00832F8D"/>
    <w:rsid w:val="00860F13"/>
    <w:rsid w:val="008731AD"/>
    <w:rsid w:val="00884EC5"/>
    <w:rsid w:val="00891163"/>
    <w:rsid w:val="008D30B2"/>
    <w:rsid w:val="008D60B4"/>
    <w:rsid w:val="008F4BFC"/>
    <w:rsid w:val="00911605"/>
    <w:rsid w:val="009A57FA"/>
    <w:rsid w:val="009F638E"/>
    <w:rsid w:val="00A10DF4"/>
    <w:rsid w:val="00A41211"/>
    <w:rsid w:val="00A45129"/>
    <w:rsid w:val="00A750FD"/>
    <w:rsid w:val="00A950E6"/>
    <w:rsid w:val="00A96296"/>
    <w:rsid w:val="00AE0540"/>
    <w:rsid w:val="00B137CA"/>
    <w:rsid w:val="00B326FE"/>
    <w:rsid w:val="00B703DD"/>
    <w:rsid w:val="00B90797"/>
    <w:rsid w:val="00C122C6"/>
    <w:rsid w:val="00C15AA6"/>
    <w:rsid w:val="00C25226"/>
    <w:rsid w:val="00C92916"/>
    <w:rsid w:val="00CC16F2"/>
    <w:rsid w:val="00CC47B9"/>
    <w:rsid w:val="00CC5C16"/>
    <w:rsid w:val="00CF7D7D"/>
    <w:rsid w:val="00D00C80"/>
    <w:rsid w:val="00DD2F89"/>
    <w:rsid w:val="00DF17FA"/>
    <w:rsid w:val="00E23AFF"/>
    <w:rsid w:val="00E42B2B"/>
    <w:rsid w:val="00E61F15"/>
    <w:rsid w:val="00E70434"/>
    <w:rsid w:val="00E737A9"/>
    <w:rsid w:val="00EA35D9"/>
    <w:rsid w:val="00EA528E"/>
    <w:rsid w:val="00EB25DF"/>
    <w:rsid w:val="00F2302F"/>
    <w:rsid w:val="00F33ECF"/>
    <w:rsid w:val="00F80B99"/>
    <w:rsid w:val="00F82D9B"/>
    <w:rsid w:val="00FB5991"/>
    <w:rsid w:val="00FC6DD0"/>
    <w:rsid w:val="00FE2FBB"/>
    <w:rsid w:val="00FE3F21"/>
    <w:rsid w:val="00FE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43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431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431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431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431C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F33EC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5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37C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80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0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2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2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B9B9B"/>
                                        <w:left w:val="single" w:sz="6" w:space="8" w:color="D5D5D5"/>
                                        <w:bottom w:val="single" w:sz="6" w:space="2" w:color="E8E8E8"/>
                                        <w:right w:val="single" w:sz="6" w:space="0" w:color="D5D5D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0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068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1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48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70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8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0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1844421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23731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3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5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8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700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sselrad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62A1-0338-4F69-AF93-66CC0C61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Чуй</dc:creator>
  <cp:lastModifiedBy>Пользователь Windows</cp:lastModifiedBy>
  <cp:revision>25</cp:revision>
  <cp:lastPrinted>2021-08-13T08:43:00Z</cp:lastPrinted>
  <dcterms:created xsi:type="dcterms:W3CDTF">2021-10-06T12:06:00Z</dcterms:created>
  <dcterms:modified xsi:type="dcterms:W3CDTF">2021-10-07T07:24:00Z</dcterms:modified>
</cp:coreProperties>
</file>